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贵州省高等教育自学考试</w:t>
      </w:r>
    </w:p>
    <w:p>
      <w:pPr>
        <w:jc w:val="center"/>
        <w:rPr>
          <w:rFonts w:hint="eastAsia" w:ascii="宋体" w:hAnsi="宋体" w:eastAsia="宋体" w:cs="宋体"/>
          <w:b/>
          <w:bCs/>
          <w:sz w:val="44"/>
          <w:szCs w:val="44"/>
          <w:lang w:val="en-US" w:eastAsia="zh-CN"/>
        </w:rPr>
      </w:pPr>
      <w:r>
        <w:rPr>
          <w:rFonts w:hint="eastAsia" w:cs="宋体"/>
          <w:b/>
          <w:bCs/>
          <w:sz w:val="44"/>
          <w:szCs w:val="44"/>
          <w:lang w:val="en-US" w:eastAsia="zh-CN"/>
        </w:rPr>
        <w:t>食品安全与营养学</w:t>
      </w:r>
      <w:r>
        <w:rPr>
          <w:rFonts w:hint="eastAsia" w:ascii="宋体" w:hAnsi="宋体" w:eastAsia="宋体" w:cs="宋体"/>
          <w:b/>
          <w:bCs/>
          <w:sz w:val="44"/>
          <w:szCs w:val="44"/>
          <w:lang w:val="en-US" w:eastAsia="zh-CN"/>
        </w:rPr>
        <w:t>（专升本）</w:t>
      </w:r>
      <w:bookmarkStart w:id="0" w:name="_GoBack"/>
      <w:bookmarkEnd w:id="0"/>
      <w:r>
        <w:rPr>
          <w:rFonts w:hint="eastAsia" w:ascii="宋体" w:hAnsi="宋体" w:cs="宋体"/>
          <w:b/>
          <w:bCs/>
          <w:sz w:val="44"/>
          <w:szCs w:val="44"/>
          <w:lang w:val="en-US" w:eastAsia="zh-CN"/>
        </w:rPr>
        <w:t>（</w:t>
      </w:r>
      <w:r>
        <w:rPr>
          <w:rFonts w:hint="eastAsia" w:cs="宋体"/>
          <w:b w:val="0"/>
          <w:bCs w:val="0"/>
          <w:sz w:val="44"/>
          <w:szCs w:val="44"/>
          <w:lang w:val="en-US" w:eastAsia="zh-CN"/>
        </w:rPr>
        <w:t>100402</w:t>
      </w:r>
      <w:r>
        <w:rPr>
          <w:rFonts w:hint="eastAsia" w:ascii="宋体" w:hAnsi="宋体" w:eastAsia="宋体" w:cs="宋体"/>
          <w:b/>
          <w:bCs/>
          <w:sz w:val="44"/>
          <w:szCs w:val="44"/>
          <w:lang w:val="en-US" w:eastAsia="zh-CN"/>
        </w:rPr>
        <w:t>)</w:t>
      </w:r>
    </w:p>
    <w:p>
      <w:pPr>
        <w:spacing w:line="360" w:lineRule="auto"/>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食品毒理学(</w:t>
      </w:r>
      <w:r>
        <w:rPr>
          <w:rFonts w:hint="eastAsia" w:cs="宋体"/>
          <w:b w:val="0"/>
          <w:bCs w:val="0"/>
          <w:sz w:val="44"/>
          <w:szCs w:val="44"/>
          <w:lang w:val="en-US" w:eastAsia="zh-CN"/>
        </w:rPr>
        <w:t>05764</w:t>
      </w:r>
      <w:r>
        <w:rPr>
          <w:rFonts w:hint="eastAsia" w:ascii="宋体" w:hAnsi="宋体" w:eastAsia="宋体" w:cs="宋体"/>
          <w:b/>
          <w:bCs/>
          <w:sz w:val="44"/>
          <w:szCs w:val="44"/>
          <w:lang w:val="en-US" w:eastAsia="zh-CN"/>
        </w:rPr>
        <w:t>)考试大纲</w:t>
      </w:r>
    </w:p>
    <w:p>
      <w:pPr>
        <w:spacing w:line="360" w:lineRule="auto"/>
        <w:ind w:firstLine="643" w:firstLineChars="200"/>
        <w:jc w:val="left"/>
        <w:rPr>
          <w:rFonts w:hint="eastAsia" w:ascii="宋体" w:hAnsi="宋体"/>
          <w:b/>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sz w:val="32"/>
          <w:szCs w:val="32"/>
          <w:lang w:eastAsia="zh-CN"/>
        </w:rPr>
      </w:pPr>
      <w:r>
        <w:rPr>
          <w:rFonts w:hint="eastAsia" w:ascii="黑体" w:hAnsi="黑体" w:eastAsia="黑体" w:cs="黑体"/>
          <w:b/>
          <w:bCs w:val="0"/>
          <w:sz w:val="36"/>
          <w:szCs w:val="36"/>
        </w:rPr>
        <w:t>Ⅰ</w:t>
      </w:r>
      <w:r>
        <w:rPr>
          <w:rFonts w:hint="eastAsia" w:ascii="黑体" w:hAnsi="黑体" w:eastAsia="黑体" w:cs="黑体"/>
          <w:b/>
          <w:bCs w:val="0"/>
          <w:sz w:val="36"/>
          <w:szCs w:val="36"/>
          <w:lang w:val="en-US" w:eastAsia="zh-CN"/>
        </w:rPr>
        <w:t xml:space="preserve"> </w:t>
      </w:r>
      <w:r>
        <w:rPr>
          <w:rFonts w:hint="eastAsia" w:ascii="黑体" w:hAnsi="黑体" w:eastAsia="黑体" w:cs="黑体"/>
          <w:b/>
          <w:bCs w:val="0"/>
          <w:sz w:val="36"/>
          <w:szCs w:val="36"/>
        </w:rPr>
        <w:t>课程内容与考核目标</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jc w:val="center"/>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第一章</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绪论及食品毒理学基础</w:t>
      </w:r>
    </w:p>
    <w:p>
      <w:pPr>
        <w:ind w:left="319" w:leftChars="152" w:firstLine="643" w:firstLineChars="200"/>
        <w:rPr>
          <w:rFonts w:hint="eastAsia" w:ascii="仿宋" w:hAnsi="仿宋" w:eastAsia="仿宋" w:cs="仿宋"/>
          <w:b w:val="0"/>
          <w:bCs w:val="0"/>
          <w:kern w:val="2"/>
          <w:sz w:val="32"/>
          <w:szCs w:val="32"/>
          <w:lang w:val="en-US"/>
        </w:rPr>
      </w:pPr>
      <w:r>
        <w:rPr>
          <w:rFonts w:hint="eastAsia" w:ascii="仿宋" w:hAnsi="仿宋" w:eastAsia="仿宋" w:cs="仿宋"/>
          <w:b/>
          <w:bCs/>
          <w:kern w:val="2"/>
          <w:sz w:val="32"/>
          <w:szCs w:val="32"/>
          <w:lang w:val="en-US"/>
        </w:rPr>
        <w:t>掌握</w:t>
      </w:r>
      <w:r>
        <w:rPr>
          <w:rFonts w:hint="eastAsia" w:ascii="仿宋" w:hAnsi="仿宋" w:eastAsia="仿宋" w:cs="仿宋"/>
          <w:b/>
          <w:bCs/>
          <w:kern w:val="2"/>
          <w:sz w:val="32"/>
          <w:szCs w:val="32"/>
          <w:lang w:val="en-US" w:eastAsia="zh-CN"/>
        </w:rPr>
        <w:t>：</w:t>
      </w:r>
      <w:r>
        <w:rPr>
          <w:rFonts w:hint="eastAsia" w:ascii="仿宋" w:hAnsi="仿宋" w:eastAsia="仿宋" w:cs="仿宋"/>
          <w:b w:val="0"/>
          <w:bCs w:val="0"/>
          <w:kern w:val="2"/>
          <w:sz w:val="32"/>
          <w:szCs w:val="32"/>
          <w:lang w:val="en-US"/>
        </w:rPr>
        <w:t>食品毒理学的概念及学科来源、食品毒理学研究内容、研究方法及其优缺点</w:t>
      </w:r>
      <w:r>
        <w:rPr>
          <w:rFonts w:hint="eastAsia" w:ascii="仿宋" w:hAnsi="仿宋" w:eastAsia="仿宋" w:cs="仿宋"/>
          <w:b w:val="0"/>
          <w:bCs w:val="0"/>
          <w:kern w:val="2"/>
          <w:sz w:val="32"/>
          <w:szCs w:val="32"/>
          <w:lang w:val="en-US" w:eastAsia="zh-CN"/>
        </w:rPr>
        <w:t>。</w:t>
      </w:r>
      <w:r>
        <w:rPr>
          <w:rFonts w:hint="eastAsia" w:ascii="仿宋" w:hAnsi="仿宋" w:eastAsia="仿宋" w:cs="仿宋"/>
          <w:b w:val="0"/>
          <w:bCs w:val="0"/>
          <w:kern w:val="2"/>
          <w:sz w:val="32"/>
          <w:szCs w:val="32"/>
          <w:lang w:val="en-US"/>
        </w:rPr>
        <w:t>外源化学物、毒物、毒性、安全性与危险性的基本概念。毒效应谱和毒作用类型，选择毒性及其毒理学意义，生物学标志及其分类、剂量-效应（反应）关系及曲线，常用毒性参数及其毒理学意义。</w:t>
      </w:r>
    </w:p>
    <w:p>
      <w:pPr>
        <w:ind w:left="0" w:leftChars="0" w:firstLine="643" w:firstLineChars="200"/>
        <w:rPr>
          <w:rFonts w:hint="eastAsia" w:ascii="仿宋" w:hAnsi="仿宋" w:eastAsia="仿宋" w:cs="仿宋"/>
          <w:b w:val="0"/>
          <w:bCs w:val="0"/>
          <w:kern w:val="2"/>
          <w:sz w:val="32"/>
          <w:szCs w:val="32"/>
          <w:lang w:val="en-US"/>
        </w:rPr>
      </w:pPr>
      <w:r>
        <w:rPr>
          <w:rFonts w:hint="eastAsia" w:ascii="仿宋" w:hAnsi="仿宋" w:eastAsia="仿宋" w:cs="仿宋"/>
          <w:b/>
          <w:bCs/>
          <w:kern w:val="2"/>
          <w:sz w:val="32"/>
          <w:szCs w:val="32"/>
          <w:lang w:val="en-US"/>
        </w:rPr>
        <w:t>了解</w:t>
      </w:r>
      <w:r>
        <w:rPr>
          <w:rFonts w:hint="eastAsia" w:ascii="仿宋" w:hAnsi="仿宋" w:eastAsia="仿宋" w:cs="仿宋"/>
          <w:b/>
          <w:bCs/>
          <w:kern w:val="2"/>
          <w:sz w:val="32"/>
          <w:szCs w:val="32"/>
          <w:lang w:val="en-US" w:eastAsia="zh-CN"/>
        </w:rPr>
        <w:t>：</w:t>
      </w:r>
      <w:r>
        <w:rPr>
          <w:rFonts w:hint="eastAsia" w:ascii="仿宋" w:hAnsi="仿宋" w:eastAsia="仿宋" w:cs="仿宋"/>
          <w:b w:val="0"/>
          <w:bCs w:val="0"/>
          <w:kern w:val="2"/>
          <w:sz w:val="32"/>
          <w:szCs w:val="32"/>
          <w:lang w:val="en-US"/>
        </w:rPr>
        <w:t>食品毒理学在食品安全及风险评估中的作用及我国食品毒理学的发展、食品毒理学展望。</w:t>
      </w:r>
    </w:p>
    <w:p>
      <w:pPr>
        <w:keepNext w:val="0"/>
        <w:keepLines w:val="0"/>
        <w:pageBreakBefore w:val="0"/>
        <w:widowControl w:val="0"/>
        <w:numPr>
          <w:ilvl w:val="0"/>
          <w:numId w:val="1"/>
        </w:numPr>
        <w:kinsoku/>
        <w:wordWrap/>
        <w:overflowPunct/>
        <w:topLinePunct w:val="0"/>
        <w:autoSpaceDE/>
        <w:autoSpaceDN/>
        <w:bidi w:val="0"/>
        <w:adjustRightInd/>
        <w:snapToGrid/>
        <w:spacing w:line="720" w:lineRule="auto"/>
        <w:jc w:val="center"/>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食品中外源化学物在体内的生物转运</w:t>
      </w:r>
      <w:r>
        <w:rPr>
          <w:rFonts w:hint="eastAsia" w:ascii="仿宋" w:hAnsi="仿宋" w:eastAsia="仿宋" w:cs="仿宋"/>
          <w:b w:val="0"/>
          <w:bCs w:val="0"/>
          <w:sz w:val="32"/>
          <w:szCs w:val="32"/>
          <w:lang w:val="en-US" w:eastAsia="zh-CN"/>
        </w:rPr>
        <w:t>转化</w:t>
      </w:r>
    </w:p>
    <w:p>
      <w:pPr>
        <w:pStyle w:val="7"/>
        <w:spacing w:line="360" w:lineRule="auto"/>
        <w:ind w:left="0" w:leftChars="0"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 xml:space="preserve">生物转运和生物转化的基本概念及其毒理学意义，外源化学物吸收的主要途径、代谢和排泄的主要器官。 </w:t>
      </w:r>
    </w:p>
    <w:p>
      <w:pPr>
        <w:pStyle w:val="7"/>
        <w:spacing w:line="360" w:lineRule="auto"/>
        <w:ind w:left="0" w:leftChars="0"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熟悉：</w:t>
      </w:r>
      <w:r>
        <w:rPr>
          <w:rFonts w:hint="eastAsia" w:ascii="仿宋" w:hAnsi="仿宋" w:eastAsia="仿宋" w:cs="仿宋"/>
          <w:b w:val="0"/>
          <w:bCs w:val="0"/>
          <w:kern w:val="2"/>
          <w:sz w:val="32"/>
          <w:szCs w:val="32"/>
          <w:lang w:val="en-US" w:eastAsia="zh-CN" w:bidi="ar-SA"/>
        </w:rPr>
        <w:t>外源化学物在体内生物转运和生物转化的影响因素。</w:t>
      </w:r>
    </w:p>
    <w:p>
      <w:pPr>
        <w:pStyle w:val="7"/>
        <w:spacing w:line="360" w:lineRule="auto"/>
        <w:ind w:left="0" w:leftChars="0"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了解：</w:t>
      </w:r>
      <w:r>
        <w:rPr>
          <w:rFonts w:hint="eastAsia" w:ascii="仿宋" w:hAnsi="仿宋" w:eastAsia="仿宋" w:cs="仿宋"/>
          <w:b w:val="0"/>
          <w:bCs w:val="0"/>
          <w:kern w:val="2"/>
          <w:sz w:val="32"/>
          <w:szCs w:val="32"/>
          <w:lang w:val="en-US" w:eastAsia="zh-CN" w:bidi="ar-SA"/>
        </w:rPr>
        <w:t>生物膜的基本结构、经典毒物动力学、生理毒物动力学模型。</w:t>
      </w:r>
    </w:p>
    <w:p>
      <w:pPr>
        <w:keepNext w:val="0"/>
        <w:keepLines w:val="0"/>
        <w:pageBreakBefore w:val="0"/>
        <w:widowControl w:val="0"/>
        <w:numPr>
          <w:ilvl w:val="0"/>
          <w:numId w:val="1"/>
        </w:numPr>
        <w:kinsoku/>
        <w:wordWrap/>
        <w:overflowPunct/>
        <w:topLinePunct w:val="0"/>
        <w:autoSpaceDE/>
        <w:autoSpaceDN/>
        <w:bidi w:val="0"/>
        <w:adjustRightInd/>
        <w:snapToGrid/>
        <w:spacing w:line="720" w:lineRule="auto"/>
        <w:ind w:left="0" w:leftChars="0" w:firstLine="0" w:firstLineChars="0"/>
        <w:jc w:val="center"/>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影响食品中外源化合物毒性作用的因素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ind w:leftChars="0" w:firstLine="643"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影响食品中外源化合物毒性作用的主要因素及其在毒理学实际工作中的应用。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ind w:leftChars="0" w:firstLine="643"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熟悉：</w:t>
      </w:r>
      <w:r>
        <w:rPr>
          <w:rFonts w:hint="eastAsia" w:ascii="仿宋" w:hAnsi="仿宋" w:eastAsia="仿宋" w:cs="仿宋"/>
          <w:b w:val="0"/>
          <w:bCs w:val="0"/>
          <w:kern w:val="2"/>
          <w:sz w:val="32"/>
          <w:szCs w:val="32"/>
          <w:lang w:val="en-US" w:eastAsia="zh-CN" w:bidi="ar-SA"/>
        </w:rPr>
        <w:t>外源化学物联合毒性作用的种类和方式。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ind w:leftChars="0" w:firstLine="643"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了解：</w:t>
      </w:r>
      <w:r>
        <w:rPr>
          <w:rFonts w:hint="eastAsia" w:ascii="仿宋" w:hAnsi="仿宋" w:eastAsia="仿宋" w:cs="仿宋"/>
          <w:b w:val="0"/>
          <w:bCs w:val="0"/>
          <w:kern w:val="2"/>
          <w:sz w:val="32"/>
          <w:szCs w:val="32"/>
          <w:lang w:val="en-US" w:eastAsia="zh-CN" w:bidi="ar-SA"/>
        </w:rPr>
        <w:t>影响食品中外源化合物毒性作用的各个因素之间的关系和研究进展。</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ind w:leftChars="0"/>
        <w:jc w:val="center"/>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第四章  食品中外源化学物的一般毒性作用</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食品中外源化学物一般毒性作用的概念、常用参数，一般毒性试验的目的及其评价标准。</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熟悉：</w:t>
      </w:r>
      <w:r>
        <w:rPr>
          <w:rFonts w:hint="eastAsia" w:ascii="仿宋" w:hAnsi="仿宋" w:eastAsia="仿宋" w:cs="仿宋"/>
          <w:b w:val="0"/>
          <w:bCs w:val="0"/>
          <w:kern w:val="2"/>
          <w:sz w:val="32"/>
          <w:szCs w:val="32"/>
          <w:lang w:val="en-US" w:eastAsia="zh-CN" w:bidi="ar-SA"/>
        </w:rPr>
        <w:t>急性毒性试作用、蓄积毒性作用、亚慢性毒性作用、慢性毒性作用试验设计方法。</w:t>
      </w:r>
    </w:p>
    <w:p>
      <w:pPr>
        <w:spacing w:line="360" w:lineRule="auto"/>
        <w:ind w:firstLine="643" w:firstLineChars="200"/>
        <w:jc w:val="left"/>
        <w:rPr>
          <w:b/>
          <w:bCs/>
          <w:sz w:val="28"/>
          <w:szCs w:val="28"/>
        </w:rPr>
      </w:pPr>
      <w:r>
        <w:rPr>
          <w:rFonts w:hint="eastAsia" w:ascii="仿宋" w:hAnsi="仿宋" w:eastAsia="仿宋" w:cs="仿宋"/>
          <w:b/>
          <w:bCs/>
          <w:kern w:val="2"/>
          <w:sz w:val="32"/>
          <w:szCs w:val="32"/>
          <w:lang w:val="en-US" w:eastAsia="zh-CN" w:bidi="ar-SA"/>
        </w:rPr>
        <w:t>了解：</w:t>
      </w:r>
      <w:r>
        <w:rPr>
          <w:rFonts w:hint="eastAsia" w:ascii="仿宋" w:hAnsi="仿宋" w:eastAsia="仿宋" w:cs="仿宋"/>
          <w:b w:val="0"/>
          <w:bCs w:val="0"/>
          <w:kern w:val="2"/>
          <w:sz w:val="32"/>
          <w:szCs w:val="32"/>
          <w:lang w:val="en-US" w:eastAsia="zh-CN" w:bidi="ar-SA"/>
        </w:rPr>
        <w:t>食品毒理学一般毒性试验的局限性及替代方法。</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ind w:leftChars="0"/>
        <w:jc w:val="center"/>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第五章 食品中外源化学物的致突变作用</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食品中外源化学物的致突变类型、后果；遗传毒理学成套实验入选原则。</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熟悉：</w:t>
      </w:r>
      <w:r>
        <w:rPr>
          <w:rFonts w:hint="eastAsia" w:ascii="仿宋" w:hAnsi="仿宋" w:eastAsia="仿宋" w:cs="仿宋"/>
          <w:b w:val="0"/>
          <w:bCs w:val="0"/>
          <w:kern w:val="2"/>
          <w:sz w:val="32"/>
          <w:szCs w:val="32"/>
          <w:lang w:val="en-US" w:eastAsia="zh-CN" w:bidi="ar-SA"/>
        </w:rPr>
        <w:t>常用致突变试验的原理及观察终点。</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了解：</w:t>
      </w:r>
      <w:r>
        <w:rPr>
          <w:rFonts w:hint="eastAsia" w:ascii="仿宋" w:hAnsi="仿宋" w:eastAsia="仿宋" w:cs="仿宋"/>
          <w:b w:val="0"/>
          <w:bCs w:val="0"/>
          <w:kern w:val="2"/>
          <w:sz w:val="32"/>
          <w:szCs w:val="32"/>
          <w:lang w:val="en-US" w:eastAsia="zh-CN" w:bidi="ar-SA"/>
        </w:rPr>
        <w:t>外源化学物致突变作用的机制及致突变试验结果在毒理学安全性评价中的作用。</w:t>
      </w:r>
    </w:p>
    <w:p>
      <w:pPr>
        <w:spacing w:line="360" w:lineRule="auto"/>
        <w:ind w:firstLine="640" w:firstLineChars="200"/>
        <w:jc w:val="left"/>
        <w:rPr>
          <w:rFonts w:hint="eastAsia" w:ascii="仿宋" w:hAnsi="仿宋" w:eastAsia="仿宋" w:cs="仿宋"/>
          <w:b w:val="0"/>
          <w:bCs w:val="0"/>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ind w:leftChars="0"/>
        <w:jc w:val="center"/>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第六章  食品中外源化学物的致癌作用</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化学致癌物的代谢活化及其生物学特征、化学致癌作用，化学致癌过程及各阶段特征。</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熟悉：</w:t>
      </w:r>
      <w:r>
        <w:rPr>
          <w:rFonts w:hint="eastAsia" w:ascii="仿宋" w:hAnsi="仿宋" w:eastAsia="仿宋" w:cs="仿宋"/>
          <w:b w:val="0"/>
          <w:bCs w:val="0"/>
          <w:kern w:val="2"/>
          <w:sz w:val="32"/>
          <w:szCs w:val="32"/>
          <w:lang w:val="en-US" w:eastAsia="zh-CN" w:bidi="ar-SA"/>
        </w:rPr>
        <w:t>化学致癌作用的评价方法，化学致癌物的分类，化学致癌的体细胞突变学说。</w:t>
      </w:r>
    </w:p>
    <w:p>
      <w:pPr>
        <w:spacing w:line="360" w:lineRule="auto"/>
        <w:ind w:firstLine="643" w:firstLineChars="200"/>
        <w:jc w:val="left"/>
        <w:rPr>
          <w:rFonts w:hint="eastAsia"/>
          <w:sz w:val="24"/>
          <w:szCs w:val="24"/>
        </w:rPr>
      </w:pPr>
      <w:r>
        <w:rPr>
          <w:rFonts w:hint="eastAsia" w:ascii="仿宋" w:hAnsi="仿宋" w:eastAsia="仿宋" w:cs="仿宋"/>
          <w:b/>
          <w:bCs/>
          <w:kern w:val="2"/>
          <w:sz w:val="32"/>
          <w:szCs w:val="32"/>
          <w:lang w:val="en-US" w:eastAsia="zh-CN" w:bidi="ar-SA"/>
        </w:rPr>
        <w:t>了解：</w:t>
      </w:r>
      <w:r>
        <w:rPr>
          <w:rFonts w:hint="eastAsia" w:ascii="仿宋" w:hAnsi="仿宋" w:eastAsia="仿宋" w:cs="仿宋"/>
          <w:b w:val="0"/>
          <w:bCs w:val="0"/>
          <w:kern w:val="2"/>
          <w:sz w:val="32"/>
          <w:szCs w:val="32"/>
          <w:lang w:val="en-US" w:eastAsia="zh-CN" w:bidi="ar-SA"/>
        </w:rPr>
        <w:t>致突变实验与致癌试验的关系，化学致癌的非遗传毒性机制。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auto"/>
        <w:ind w:leftChars="0"/>
        <w:jc w:val="center"/>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第七章  食品中外源化学物的生殖和发育毒性</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生殖毒性、发育毒性、发育毒理学、致畸物、致畸作用、靶窗的概念；发育毒性的具体表现、发育各阶段毒性作用的特点、生殖发育毒性的评价方法。</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熟悉：</w:t>
      </w:r>
      <w:r>
        <w:rPr>
          <w:rFonts w:hint="eastAsia" w:ascii="仿宋" w:hAnsi="仿宋" w:eastAsia="仿宋" w:cs="仿宋"/>
          <w:b w:val="0"/>
          <w:bCs w:val="0"/>
          <w:kern w:val="2"/>
          <w:sz w:val="32"/>
          <w:szCs w:val="32"/>
          <w:lang w:val="en-US" w:eastAsia="zh-CN" w:bidi="ar-SA"/>
        </w:rPr>
        <w:t>生殖发育毒性的主要影响因素。</w:t>
      </w:r>
    </w:p>
    <w:p>
      <w:pPr>
        <w:spacing w:line="360" w:lineRule="auto"/>
        <w:ind w:firstLine="643" w:firstLineChars="200"/>
        <w:jc w:val="left"/>
        <w:rPr>
          <w:rFonts w:hint="eastAsia"/>
          <w:szCs w:val="21"/>
        </w:rPr>
      </w:pPr>
      <w:r>
        <w:rPr>
          <w:rFonts w:hint="eastAsia" w:ascii="仿宋" w:hAnsi="仿宋" w:eastAsia="仿宋" w:cs="仿宋"/>
          <w:b/>
          <w:bCs/>
          <w:kern w:val="2"/>
          <w:sz w:val="32"/>
          <w:szCs w:val="32"/>
          <w:lang w:val="en-US" w:eastAsia="zh-CN" w:bidi="ar-SA"/>
        </w:rPr>
        <w:t>了解：</w:t>
      </w:r>
      <w:r>
        <w:rPr>
          <w:rFonts w:hint="eastAsia" w:ascii="仿宋" w:hAnsi="仿宋" w:eastAsia="仿宋" w:cs="仿宋"/>
          <w:b w:val="0"/>
          <w:bCs w:val="0"/>
          <w:kern w:val="2"/>
          <w:sz w:val="32"/>
          <w:szCs w:val="32"/>
          <w:lang w:val="en-US" w:eastAsia="zh-CN" w:bidi="ar-SA"/>
        </w:rPr>
        <w:t>生殖与发育毒性的形成机制。</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ind w:leftChars="0"/>
        <w:jc w:val="center"/>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第八章  食品中外源化学物的免疫毒性</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外源化学物对机体免疫的影响、免疫毒性的评价方法；</w:t>
      </w:r>
    </w:p>
    <w:p>
      <w:pPr>
        <w:spacing w:line="360" w:lineRule="auto"/>
        <w:ind w:firstLine="643" w:firstLineChars="200"/>
        <w:jc w:val="left"/>
        <w:rPr>
          <w:rFonts w:ascii="宋体" w:hAnsi="宋体"/>
          <w:b/>
          <w:sz w:val="32"/>
          <w:szCs w:val="32"/>
        </w:rPr>
      </w:pPr>
      <w:r>
        <w:rPr>
          <w:rFonts w:hint="eastAsia" w:ascii="仿宋" w:hAnsi="仿宋" w:eastAsia="仿宋" w:cs="仿宋"/>
          <w:b/>
          <w:bCs/>
          <w:kern w:val="2"/>
          <w:sz w:val="32"/>
          <w:szCs w:val="32"/>
          <w:lang w:val="en-US" w:eastAsia="zh-CN" w:bidi="ar-SA"/>
        </w:rPr>
        <w:t>熟悉：</w:t>
      </w:r>
      <w:r>
        <w:rPr>
          <w:rFonts w:hint="eastAsia" w:ascii="仿宋" w:hAnsi="仿宋" w:eastAsia="仿宋" w:cs="仿宋"/>
          <w:b w:val="0"/>
          <w:bCs w:val="0"/>
          <w:kern w:val="2"/>
          <w:sz w:val="32"/>
          <w:szCs w:val="32"/>
          <w:lang w:val="en-US" w:eastAsia="zh-CN" w:bidi="ar-SA"/>
        </w:rPr>
        <w:t>免疫应答的类型和基本过程。</w:t>
      </w:r>
    </w:p>
    <w:p>
      <w:pPr>
        <w:keepNext w:val="0"/>
        <w:keepLines w:val="0"/>
        <w:pageBreakBefore w:val="0"/>
        <w:widowControl w:val="0"/>
        <w:numPr>
          <w:ilvl w:val="0"/>
          <w:numId w:val="0"/>
        </w:numPr>
        <w:kinsoku/>
        <w:wordWrap/>
        <w:overflowPunct/>
        <w:topLinePunct w:val="0"/>
        <w:autoSpaceDE/>
        <w:autoSpaceDN/>
        <w:bidi w:val="0"/>
        <w:adjustRightInd/>
        <w:snapToGrid/>
        <w:spacing w:line="720" w:lineRule="auto"/>
        <w:ind w:leftChars="0"/>
        <w:jc w:val="center"/>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第九章 食品安全风险评估及安全性评价</w:t>
      </w:r>
    </w:p>
    <w:p>
      <w:pPr>
        <w:spacing w:line="360" w:lineRule="auto"/>
        <w:ind w:firstLine="643"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掌握：</w:t>
      </w:r>
      <w:r>
        <w:rPr>
          <w:rFonts w:hint="eastAsia" w:ascii="仿宋" w:hAnsi="仿宋" w:eastAsia="仿宋" w:cs="仿宋"/>
          <w:b w:val="0"/>
          <w:bCs w:val="0"/>
          <w:kern w:val="2"/>
          <w:sz w:val="32"/>
          <w:szCs w:val="32"/>
          <w:lang w:val="en-US" w:eastAsia="zh-CN" w:bidi="ar-SA"/>
        </w:rPr>
        <w:t>管理毒理学的概念与范围，食品安全风险评估的意义、基本方法和步骤，食品安全性毒理学评价的意义、程序和评价方法，毒理学实验室操作规范。</w:t>
      </w:r>
    </w:p>
    <w:p>
      <w:pPr>
        <w:spacing w:line="360" w:lineRule="auto"/>
        <w:ind w:firstLine="643" w:firstLineChars="200"/>
        <w:jc w:val="left"/>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熟悉：</w:t>
      </w:r>
      <w:r>
        <w:rPr>
          <w:rFonts w:hint="eastAsia" w:ascii="仿宋" w:hAnsi="仿宋" w:eastAsia="仿宋" w:cs="仿宋"/>
          <w:b w:val="0"/>
          <w:bCs w:val="0"/>
          <w:kern w:val="2"/>
          <w:sz w:val="32"/>
          <w:szCs w:val="32"/>
          <w:lang w:val="en-US" w:eastAsia="zh-CN" w:bidi="ar-SA"/>
        </w:rPr>
        <w:t>食品安全风险分析的基本框架、风险管理和风险交流的内容和原。</w:t>
      </w:r>
    </w:p>
    <w:p>
      <w:pPr>
        <w:spacing w:line="360" w:lineRule="auto"/>
        <w:ind w:firstLine="643" w:firstLineChars="200"/>
        <w:jc w:val="left"/>
        <w:rPr>
          <w:b/>
          <w:sz w:val="32"/>
          <w:szCs w:val="32"/>
        </w:rPr>
      </w:pPr>
      <w:r>
        <w:rPr>
          <w:rFonts w:hint="eastAsia" w:ascii="仿宋" w:hAnsi="仿宋" w:eastAsia="仿宋" w:cs="仿宋"/>
          <w:b/>
          <w:bCs/>
          <w:kern w:val="2"/>
          <w:sz w:val="32"/>
          <w:szCs w:val="32"/>
          <w:lang w:val="en-US" w:eastAsia="zh-CN" w:bidi="ar-SA"/>
        </w:rPr>
        <w:t>了解：</w:t>
      </w:r>
      <w:r>
        <w:rPr>
          <w:rFonts w:hint="eastAsia" w:ascii="仿宋" w:hAnsi="仿宋" w:eastAsia="仿宋" w:cs="仿宋"/>
          <w:b w:val="0"/>
          <w:bCs w:val="0"/>
          <w:kern w:val="2"/>
          <w:sz w:val="32"/>
          <w:szCs w:val="32"/>
          <w:lang w:val="en-US" w:eastAsia="zh-CN" w:bidi="ar-SA"/>
        </w:rPr>
        <w:t>转基因食品的安全性毒理学评价。</w:t>
      </w:r>
    </w:p>
    <w:p>
      <w:pPr>
        <w:spacing w:line="360" w:lineRule="auto"/>
        <w:ind w:firstLine="562" w:firstLineChars="200"/>
        <w:jc w:val="left"/>
        <w:rPr>
          <w:b/>
          <w:bCs/>
          <w:sz w:val="28"/>
          <w:szCs w:val="28"/>
        </w:rPr>
      </w:pPr>
    </w:p>
    <w:p>
      <w:pPr>
        <w:spacing w:line="360" w:lineRule="auto"/>
        <w:ind w:firstLine="562" w:firstLineChars="200"/>
        <w:jc w:val="left"/>
        <w:rPr>
          <w:b/>
          <w:bCs/>
          <w:sz w:val="28"/>
          <w:szCs w:val="28"/>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widowControl/>
        <w:jc w:val="left"/>
        <w:rPr>
          <w:rFonts w:hint="eastAsia"/>
          <w:b/>
          <w:bCs/>
          <w:sz w:val="36"/>
          <w:szCs w:val="36"/>
        </w:rPr>
      </w:pPr>
    </w:p>
    <w:p>
      <w:pPr>
        <w:spacing w:line="360" w:lineRule="auto"/>
        <w:rPr>
          <w:rFonts w:hint="eastAsia" w:ascii="Times New Roman" w:hAnsi="Times New Roman" w:eastAsia="宋体" w:cs="Times New Roman"/>
          <w:sz w:val="30"/>
          <w:szCs w:val="24"/>
        </w:rPr>
      </w:pPr>
      <w:r>
        <w:rPr>
          <w:rFonts w:hint="eastAsia" w:ascii="Times New Roman" w:hAnsi="Times New Roman" w:eastAsia="宋体" w:cs="Times New Roman"/>
          <w:sz w:val="30"/>
          <w:szCs w:val="24"/>
        </w:rPr>
        <w:t>【附录】</w:t>
      </w:r>
    </w:p>
    <w:p>
      <w:pPr>
        <w:spacing w:line="600" w:lineRule="auto"/>
        <w:ind w:firstLine="3123" w:firstLineChars="864"/>
        <w:rPr>
          <w:rFonts w:hint="eastAsia" w:ascii="Times New Roman Regular" w:hAnsi="Times New Roman Regular" w:eastAsia="黑体" w:cs="Times New Roman Regular"/>
          <w:sz w:val="21"/>
          <w:szCs w:val="21"/>
        </w:rPr>
      </w:pPr>
      <w:r>
        <w:rPr>
          <w:rFonts w:hint="eastAsia"/>
          <w:b/>
          <w:sz w:val="36"/>
        </w:rPr>
        <w:t>题型举例</w:t>
      </w:r>
    </w:p>
    <w:p>
      <w:pPr>
        <w:spacing w:line="360" w:lineRule="auto"/>
        <w:rPr>
          <w:rFonts w:hint="eastAsia" w:ascii="黑体" w:hAnsi="宋体" w:eastAsia="黑体" w:cs="Times New Roman"/>
          <w:b/>
          <w:bCs/>
          <w:szCs w:val="21"/>
        </w:rPr>
      </w:pPr>
      <w:r>
        <w:rPr>
          <w:rFonts w:hint="eastAsia" w:ascii="黑体" w:hAnsi="宋体" w:eastAsia="黑体" w:cs="Times New Roman"/>
          <w:b/>
          <w:bCs/>
          <w:szCs w:val="21"/>
        </w:rPr>
        <w:t>一、单项选择题（本大题共</w:t>
      </w:r>
      <w:r>
        <w:rPr>
          <w:rFonts w:hint="eastAsia" w:ascii="黑体" w:hAnsi="宋体" w:eastAsia="黑体" w:cs="Times New Roman"/>
          <w:b/>
          <w:bCs/>
          <w:szCs w:val="21"/>
          <w:lang w:val="en-US" w:eastAsia="zh-CN"/>
        </w:rPr>
        <w:t>3</w:t>
      </w:r>
      <w:r>
        <w:rPr>
          <w:rFonts w:hint="eastAsia" w:ascii="黑体" w:hAnsi="宋体" w:eastAsia="黑体" w:cs="Times New Roman"/>
          <w:b/>
          <w:bCs/>
          <w:szCs w:val="21"/>
        </w:rPr>
        <w:t>0小题，每小题1分，共</w:t>
      </w:r>
      <w:r>
        <w:rPr>
          <w:rFonts w:hint="eastAsia" w:ascii="黑体" w:hAnsi="宋体" w:eastAsia="黑体" w:cs="Times New Roman"/>
          <w:b/>
          <w:bCs/>
          <w:szCs w:val="21"/>
          <w:lang w:val="en-US" w:eastAsia="zh-CN"/>
        </w:rPr>
        <w:t>3</w:t>
      </w:r>
      <w:r>
        <w:rPr>
          <w:rFonts w:hint="eastAsia" w:ascii="黑体" w:hAnsi="宋体" w:eastAsia="黑体" w:cs="Times New Roman"/>
          <w:b/>
          <w:bCs/>
          <w:szCs w:val="21"/>
        </w:rPr>
        <w:t>0分。在每小题列出的备选项中只有一项是最符合题目要求的，请将其选出。）</w:t>
      </w:r>
    </w:p>
    <w:p>
      <w:pPr>
        <w:spacing w:line="360" w:lineRule="auto"/>
        <w:rPr>
          <w:rFonts w:hint="default"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1</w:t>
      </w:r>
      <w:r>
        <w:rPr>
          <w:rFonts w:hint="eastAsia" w:ascii="Times New Roman" w:hAnsi="Times New Roman" w:eastAsia="宋体" w:cs="Times New Roman"/>
          <w:bCs/>
          <w:szCs w:val="21"/>
          <w:lang w:val="en-US"/>
        </w:rPr>
        <w:t xml:space="preserve">.食品毒理学是研究食品中可能含有的化学物质对机体 （ </w:t>
      </w:r>
      <w:r>
        <w:rPr>
          <w:rFonts w:hint="eastAsia" w:ascii="Times New Roman" w:hAnsi="Times New Roman" w:eastAsia="宋体" w:cs="Times New Roman"/>
          <w:bCs/>
          <w:szCs w:val="21"/>
          <w:lang w:val="en-US" w:eastAsia="zh-CN"/>
        </w:rPr>
        <w:t xml:space="preserve">   </w:t>
      </w:r>
      <w:r>
        <w:rPr>
          <w:rFonts w:hint="eastAsia" w:ascii="Times New Roman" w:hAnsi="Times New Roman" w:eastAsia="宋体" w:cs="Times New Roman"/>
          <w:bCs/>
          <w:szCs w:val="21"/>
          <w:lang w:val="en-US"/>
        </w:rPr>
        <w:t>）</w:t>
      </w:r>
      <w:r>
        <w:rPr>
          <w:rFonts w:hint="eastAsia" w:ascii="Times New Roman" w:hAnsi="Times New Roman" w:eastAsia="宋体" w:cs="Times New Roman"/>
          <w:bCs/>
          <w:szCs w:val="21"/>
          <w:lang w:val="en-US" w:eastAsia="zh-CN"/>
        </w:rPr>
        <w:t xml:space="preserve">               答案【D</w:t>
      </w:r>
      <w:r>
        <w:rPr>
          <w:rFonts w:hint="eastAsia" w:ascii="Times New Roman" w:hAnsi="Times New Roman" w:eastAsia="宋体" w:cs="Times New Roman"/>
          <w:bCs/>
          <w:szCs w:val="21"/>
          <w:lang w:eastAsia="zh-CN"/>
        </w:rPr>
        <w:t>】</w:t>
      </w:r>
    </w:p>
    <w:p>
      <w:pPr>
        <w:spacing w:line="360" w:lineRule="auto"/>
        <w:ind w:leftChars="100"/>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rPr>
        <w:t xml:space="preserve">A.有益作用 </w:t>
      </w:r>
      <w:r>
        <w:rPr>
          <w:rFonts w:hint="eastAsia" w:ascii="Times New Roman" w:hAnsi="Times New Roman" w:eastAsia="宋体" w:cs="Times New Roman"/>
          <w:bCs/>
          <w:szCs w:val="21"/>
          <w:lang w:val="en-US" w:eastAsia="zh-CN"/>
        </w:rPr>
        <w:t xml:space="preserve">    </w:t>
      </w:r>
    </w:p>
    <w:p>
      <w:pPr>
        <w:spacing w:line="360" w:lineRule="auto"/>
        <w:ind w:leftChars="100"/>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rPr>
        <w:t xml:space="preserve">B.营养作用 </w:t>
      </w:r>
      <w:r>
        <w:rPr>
          <w:rFonts w:hint="eastAsia" w:ascii="Times New Roman" w:hAnsi="Times New Roman" w:eastAsia="宋体" w:cs="Times New Roman"/>
          <w:bCs/>
          <w:szCs w:val="21"/>
          <w:lang w:val="en-US" w:eastAsia="zh-CN"/>
        </w:rPr>
        <w:t xml:space="preserve">    </w:t>
      </w:r>
    </w:p>
    <w:p>
      <w:pPr>
        <w:spacing w:line="360" w:lineRule="auto"/>
        <w:ind w:leftChars="100"/>
        <w:rPr>
          <w:rFonts w:hint="eastAsia" w:ascii="Times New Roman" w:hAnsi="Times New Roman" w:eastAsia="宋体" w:cs="Times New Roman"/>
          <w:bCs/>
          <w:szCs w:val="21"/>
          <w:lang w:val="en-US"/>
        </w:rPr>
      </w:pPr>
      <w:r>
        <w:rPr>
          <w:rFonts w:hint="eastAsia" w:ascii="Times New Roman" w:hAnsi="Times New Roman" w:eastAsia="宋体" w:cs="Times New Roman"/>
          <w:bCs/>
          <w:szCs w:val="21"/>
          <w:lang w:val="en-US"/>
        </w:rPr>
        <w:t>C.治疗作用</w:t>
      </w:r>
      <w:r>
        <w:rPr>
          <w:rFonts w:hint="eastAsia" w:ascii="Times New Roman" w:hAnsi="Times New Roman" w:eastAsia="宋体" w:cs="Times New Roman"/>
          <w:bCs/>
          <w:szCs w:val="21"/>
          <w:lang w:val="en-US" w:eastAsia="zh-CN"/>
        </w:rPr>
        <w:t xml:space="preserve">    </w:t>
      </w:r>
      <w:r>
        <w:rPr>
          <w:rFonts w:hint="eastAsia" w:ascii="Times New Roman" w:hAnsi="Times New Roman" w:eastAsia="宋体" w:cs="Times New Roman"/>
          <w:bCs/>
          <w:szCs w:val="21"/>
          <w:lang w:val="en-US"/>
        </w:rPr>
        <w:t xml:space="preserve"> </w:t>
      </w:r>
    </w:p>
    <w:p>
      <w:pPr>
        <w:spacing w:line="360" w:lineRule="auto"/>
        <w:ind w:leftChars="100"/>
        <w:rPr>
          <w:rFonts w:hint="eastAsia" w:ascii="Times New Roman" w:hAnsi="Times New Roman" w:eastAsia="宋体" w:cs="Times New Roman"/>
          <w:bCs/>
          <w:szCs w:val="21"/>
        </w:rPr>
      </w:pPr>
      <w:r>
        <w:rPr>
          <w:rFonts w:hint="eastAsia" w:ascii="Times New Roman" w:hAnsi="Times New Roman" w:eastAsia="宋体" w:cs="Times New Roman"/>
          <w:bCs/>
          <w:szCs w:val="21"/>
          <w:lang w:val="en-US"/>
        </w:rPr>
        <w:t>D.有害作用 </w:t>
      </w:r>
    </w:p>
    <w:p>
      <w:pPr>
        <w:spacing w:line="360" w:lineRule="auto"/>
        <w:rPr>
          <w:rFonts w:hint="default"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2.影响外源化学物毒作用大小的关键因素是 （    ）                         答案【A】</w:t>
      </w:r>
    </w:p>
    <w:p>
      <w:pPr>
        <w:spacing w:line="360" w:lineRule="auto"/>
        <w:ind w:leftChars="100"/>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 xml:space="preserve">A．剂量       </w:t>
      </w:r>
    </w:p>
    <w:p>
      <w:pPr>
        <w:spacing w:line="360" w:lineRule="auto"/>
        <w:ind w:leftChars="100"/>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 xml:space="preserve">B．暴露时间      </w:t>
      </w:r>
    </w:p>
    <w:p>
      <w:pPr>
        <w:spacing w:line="360" w:lineRule="auto"/>
        <w:ind w:leftChars="100"/>
        <w:rPr>
          <w:rFonts w:hint="eastAsia" w:ascii="Times New Roman" w:hAnsi="Times New Roman" w:eastAsia="宋体" w:cs="Times New Roman"/>
          <w:bCs/>
          <w:szCs w:val="21"/>
          <w:lang w:val="en-US" w:eastAsia="zh-CN"/>
        </w:rPr>
      </w:pPr>
      <w:r>
        <w:rPr>
          <w:rFonts w:hint="eastAsia" w:ascii="Times New Roman" w:hAnsi="Times New Roman" w:eastAsia="宋体" w:cs="Times New Roman"/>
          <w:bCs/>
          <w:szCs w:val="21"/>
          <w:lang w:val="en-US" w:eastAsia="zh-CN"/>
        </w:rPr>
        <w:t xml:space="preserve">C．暴露途径      </w:t>
      </w:r>
    </w:p>
    <w:p>
      <w:pPr>
        <w:spacing w:line="360" w:lineRule="auto"/>
        <w:ind w:leftChars="100"/>
        <w:rPr>
          <w:rFonts w:hint="eastAsia" w:ascii="Times New Roman" w:hAnsi="Times New Roman" w:eastAsia="宋体" w:cs="宋体"/>
          <w:sz w:val="21"/>
          <w:szCs w:val="21"/>
          <w:lang w:val="en-US"/>
        </w:rPr>
      </w:pPr>
      <w:r>
        <w:rPr>
          <w:rFonts w:hint="eastAsia" w:ascii="Times New Roman" w:hAnsi="Times New Roman" w:eastAsia="宋体" w:cs="Times New Roman"/>
          <w:bCs/>
          <w:szCs w:val="21"/>
          <w:lang w:val="en-US" w:eastAsia="zh-CN"/>
        </w:rPr>
        <w:t>D．暴露频率</w:t>
      </w:r>
    </w:p>
    <w:p>
      <w:pPr>
        <w:pStyle w:val="8"/>
        <w:numPr>
          <w:ilvl w:val="0"/>
          <w:numId w:val="2"/>
        </w:numPr>
        <w:snapToGrid w:val="0"/>
        <w:spacing w:line="440" w:lineRule="exact"/>
        <w:ind w:left="0" w:leftChars="0" w:firstLine="0" w:firstLineChars="0"/>
        <w:rPr>
          <w:rFonts w:hint="eastAsia" w:ascii="Times New Roman" w:hAnsi="Times New Roman" w:eastAsia="宋体"/>
          <w:b/>
          <w:bCs/>
          <w:lang w:val="en-US" w:eastAsia="zh-CN"/>
        </w:rPr>
      </w:pPr>
      <w:r>
        <w:rPr>
          <w:rFonts w:hint="eastAsia" w:ascii="黑体" w:hAnsi="宋体" w:eastAsia="黑体" w:cs="Times New Roman"/>
          <w:b/>
          <w:bCs/>
          <w:kern w:val="2"/>
          <w:sz w:val="21"/>
          <w:szCs w:val="21"/>
          <w:lang w:val="en-US" w:eastAsia="zh-CN" w:bidi="ar-SA"/>
        </w:rPr>
        <w:t>多项选择题（本大题共10小题，每小题2分，共20分。在每小题列出的备选项中至少有两项是符合题目要求的，请将其选出，错选、多选或少选均无分。）</w:t>
      </w:r>
    </w:p>
    <w:p>
      <w:pPr>
        <w:pStyle w:val="8"/>
        <w:numPr>
          <w:ilvl w:val="0"/>
          <w:numId w:val="0"/>
        </w:numPr>
        <w:snapToGrid w:val="0"/>
        <w:spacing w:line="360" w:lineRule="auto"/>
        <w:ind w:leftChars="0"/>
        <w:rPr>
          <w:rFonts w:hint="eastAsia" w:ascii="Times New Roman" w:hAnsi="Times New Roman" w:eastAsia="宋体"/>
          <w:lang w:val="en-US" w:eastAsia="zh-CN"/>
        </w:rPr>
      </w:pPr>
      <w:r>
        <w:rPr>
          <w:rFonts w:hint="eastAsia" w:ascii="Times New Roman" w:hAnsi="Times New Roman" w:eastAsia="宋体"/>
          <w:lang w:val="en-US" w:eastAsia="zh-CN"/>
        </w:rPr>
        <w:t>1</w:t>
      </w:r>
      <w:r>
        <w:rPr>
          <w:rFonts w:hint="eastAsia" w:ascii="Times New Roman" w:hAnsi="Times New Roman" w:eastAsia="宋体"/>
          <w:lang w:val="en-US"/>
        </w:rPr>
        <w:t>.食品中外源化学物在体内的转运转化过程包括</w:t>
      </w:r>
      <w:r>
        <w:rPr>
          <w:rFonts w:hint="eastAsia" w:ascii="Times New Roman" w:hAnsi="Times New Roman" w:eastAsia="宋体"/>
        </w:rPr>
        <w:t xml:space="preserve">（    </w:t>
      </w:r>
      <w:r>
        <w:rPr>
          <w:rFonts w:ascii="Times New Roman" w:hAnsi="Times New Roman" w:eastAsia="宋体"/>
        </w:rPr>
        <w:t>）</w:t>
      </w:r>
      <w:r>
        <w:rPr>
          <w:rFonts w:hint="eastAsia" w:ascii="Times New Roman" w:hAnsi="Times New Roman" w:eastAsia="宋体"/>
          <w:lang w:val="en-US"/>
        </w:rPr>
        <w:t xml:space="preserve"> </w:t>
      </w:r>
      <w:r>
        <w:rPr>
          <w:rFonts w:hint="eastAsia" w:ascii="Times New Roman" w:hAnsi="Times New Roman" w:eastAsia="宋体"/>
          <w:lang w:val="en-US" w:eastAsia="zh-CN"/>
        </w:rPr>
        <w:t xml:space="preserve">                 </w:t>
      </w:r>
      <w:r>
        <w:rPr>
          <w:rFonts w:hint="eastAsia" w:ascii="Times New Roman" w:hAnsi="Times New Roman" w:eastAsia="宋体" w:cs="宋体"/>
          <w:sz w:val="21"/>
          <w:szCs w:val="21"/>
          <w:lang w:val="en-US" w:eastAsia="zh-CN"/>
        </w:rPr>
        <w:t>答案</w:t>
      </w:r>
      <w:r>
        <w:rPr>
          <w:rFonts w:hint="eastAsia"/>
          <w:lang w:val="en-US" w:eastAsia="zh-CN"/>
        </w:rPr>
        <w:t>【ABCD</w:t>
      </w:r>
      <w:r>
        <w:rPr>
          <w:rFonts w:hint="eastAsia"/>
          <w:lang w:eastAsia="zh-CN"/>
        </w:rPr>
        <w:t>】</w:t>
      </w:r>
    </w:p>
    <w:p>
      <w:pPr>
        <w:pStyle w:val="8"/>
        <w:numPr>
          <w:ilvl w:val="0"/>
          <w:numId w:val="0"/>
        </w:numPr>
        <w:snapToGrid w:val="0"/>
        <w:spacing w:line="360" w:lineRule="auto"/>
        <w:ind w:leftChars="100"/>
        <w:rPr>
          <w:rFonts w:hint="eastAsia" w:ascii="Times New Roman" w:hAnsi="Times New Roman" w:eastAsia="宋体"/>
          <w:lang w:val="en-US" w:eastAsia="zh-CN"/>
        </w:rPr>
      </w:pPr>
      <w:r>
        <w:rPr>
          <w:rFonts w:hint="eastAsia" w:ascii="Times New Roman" w:hAnsi="Times New Roman" w:eastAsia="宋体"/>
          <w:lang w:val="en-US" w:eastAsia="zh-CN"/>
        </w:rPr>
        <w:t xml:space="preserve">A. 排泄      </w:t>
      </w:r>
    </w:p>
    <w:p>
      <w:pPr>
        <w:pStyle w:val="8"/>
        <w:numPr>
          <w:ilvl w:val="0"/>
          <w:numId w:val="0"/>
        </w:numPr>
        <w:snapToGrid w:val="0"/>
        <w:spacing w:line="360" w:lineRule="auto"/>
        <w:ind w:leftChars="100"/>
        <w:rPr>
          <w:rFonts w:hint="eastAsia" w:ascii="Times New Roman" w:hAnsi="Times New Roman" w:eastAsia="宋体"/>
          <w:lang w:val="en-US" w:eastAsia="zh-CN"/>
        </w:rPr>
      </w:pPr>
      <w:r>
        <w:rPr>
          <w:rFonts w:hint="eastAsia" w:ascii="Times New Roman" w:hAnsi="Times New Roman" w:eastAsia="宋体"/>
          <w:lang w:val="en-US" w:eastAsia="zh-CN"/>
        </w:rPr>
        <w:t xml:space="preserve">B. 吸收     </w:t>
      </w:r>
    </w:p>
    <w:p>
      <w:pPr>
        <w:pStyle w:val="8"/>
        <w:numPr>
          <w:ilvl w:val="0"/>
          <w:numId w:val="0"/>
        </w:numPr>
        <w:snapToGrid w:val="0"/>
        <w:spacing w:line="360" w:lineRule="auto"/>
        <w:ind w:leftChars="100"/>
        <w:rPr>
          <w:rFonts w:hint="eastAsia" w:ascii="Times New Roman" w:hAnsi="Times New Roman" w:eastAsia="宋体"/>
          <w:lang w:val="en-US" w:eastAsia="zh-CN"/>
        </w:rPr>
      </w:pPr>
      <w:r>
        <w:rPr>
          <w:rFonts w:hint="eastAsia" w:ascii="Times New Roman" w:hAnsi="Times New Roman" w:eastAsia="宋体"/>
          <w:lang w:val="en-US" w:eastAsia="zh-CN"/>
        </w:rPr>
        <w:t xml:space="preserve">C. 分布     </w:t>
      </w:r>
    </w:p>
    <w:p>
      <w:pPr>
        <w:pStyle w:val="8"/>
        <w:numPr>
          <w:ilvl w:val="0"/>
          <w:numId w:val="0"/>
        </w:numPr>
        <w:snapToGrid w:val="0"/>
        <w:spacing w:line="360" w:lineRule="auto"/>
        <w:ind w:leftChars="100"/>
        <w:rPr>
          <w:rFonts w:hint="eastAsia" w:ascii="Times New Roman" w:hAnsi="Times New Roman" w:eastAsia="宋体"/>
          <w:lang w:val="en-US" w:eastAsia="zh-CN"/>
        </w:rPr>
      </w:pPr>
      <w:r>
        <w:rPr>
          <w:rFonts w:hint="eastAsia" w:ascii="Times New Roman" w:hAnsi="Times New Roman" w:eastAsia="宋体"/>
          <w:lang w:val="en-US" w:eastAsia="zh-CN"/>
        </w:rPr>
        <w:t>D. 代谢</w:t>
      </w:r>
    </w:p>
    <w:p>
      <w:pPr>
        <w:pStyle w:val="8"/>
        <w:snapToGrid w:val="0"/>
        <w:spacing w:line="360" w:lineRule="auto"/>
        <w:ind w:left="0" w:leftChars="0" w:firstLine="0" w:firstLineChars="0"/>
        <w:rPr>
          <w:rFonts w:hint="default" w:ascii="Times New Roman" w:hAnsi="Times New Roman" w:eastAsia="宋体"/>
          <w:lang w:val="en-US" w:eastAsia="zh-CN"/>
        </w:rPr>
      </w:pPr>
      <w:r>
        <w:rPr>
          <w:rFonts w:hint="eastAsia" w:ascii="Times New Roman" w:hAnsi="Times New Roman" w:eastAsia="宋体"/>
          <w:lang w:val="en-US" w:eastAsia="zh-CN"/>
        </w:rPr>
        <w:t>2</w:t>
      </w:r>
      <w:r>
        <w:rPr>
          <w:rFonts w:hint="eastAsia" w:ascii="Times New Roman" w:hAnsi="Times New Roman" w:eastAsia="宋体"/>
          <w:lang w:val="en-US"/>
        </w:rPr>
        <w:t>.下列哪些属于特殊毒性</w:t>
      </w:r>
      <w:r>
        <w:rPr>
          <w:rFonts w:hint="eastAsia" w:ascii="Times New Roman" w:hAnsi="Times New Roman" w:eastAsia="宋体"/>
        </w:rPr>
        <w:t xml:space="preserve">（    </w:t>
      </w:r>
      <w:r>
        <w:rPr>
          <w:rFonts w:ascii="Times New Roman" w:hAnsi="Times New Roman" w:eastAsia="宋体"/>
        </w:rPr>
        <w:t>）</w:t>
      </w:r>
      <w:r>
        <w:rPr>
          <w:rFonts w:hint="eastAsia" w:ascii="Times New Roman" w:hAnsi="Times New Roman" w:eastAsia="宋体"/>
          <w:lang w:val="en-US"/>
        </w:rPr>
        <w:t xml:space="preserve"> </w:t>
      </w:r>
      <w:r>
        <w:rPr>
          <w:rFonts w:hint="eastAsia" w:ascii="Times New Roman" w:hAnsi="Times New Roman" w:eastAsia="宋体"/>
          <w:lang w:val="en-US" w:eastAsia="zh-CN"/>
        </w:rPr>
        <w:t xml:space="preserve">                                     </w:t>
      </w:r>
      <w:r>
        <w:rPr>
          <w:rFonts w:hint="eastAsia" w:ascii="Times New Roman" w:hAnsi="Times New Roman" w:eastAsia="宋体" w:cs="宋体"/>
          <w:sz w:val="21"/>
          <w:szCs w:val="21"/>
          <w:lang w:val="en-US" w:eastAsia="zh-CN"/>
        </w:rPr>
        <w:t>答案</w:t>
      </w:r>
      <w:r>
        <w:rPr>
          <w:rFonts w:hint="eastAsia"/>
          <w:lang w:val="en-US" w:eastAsia="zh-CN"/>
        </w:rPr>
        <w:t>【BCD</w:t>
      </w:r>
      <w:r>
        <w:rPr>
          <w:rFonts w:hint="eastAsia"/>
          <w:lang w:eastAsia="zh-CN"/>
        </w:rPr>
        <w:t>】</w:t>
      </w:r>
    </w:p>
    <w:p>
      <w:pPr>
        <w:pStyle w:val="8"/>
        <w:snapToGrid w:val="0"/>
        <w:spacing w:line="360" w:lineRule="auto"/>
        <w:ind w:left="210" w:leftChars="10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 xml:space="preserve">A. 慢性毒性     </w:t>
      </w:r>
    </w:p>
    <w:p>
      <w:pPr>
        <w:pStyle w:val="8"/>
        <w:snapToGrid w:val="0"/>
        <w:spacing w:line="360" w:lineRule="auto"/>
        <w:ind w:left="210" w:leftChars="10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 xml:space="preserve">B. 致突变性     </w:t>
      </w:r>
    </w:p>
    <w:p>
      <w:pPr>
        <w:pStyle w:val="8"/>
        <w:snapToGrid w:val="0"/>
        <w:spacing w:line="360" w:lineRule="auto"/>
        <w:ind w:left="210" w:leftChars="10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 xml:space="preserve">C. 生殖毒性     </w:t>
      </w:r>
    </w:p>
    <w:p>
      <w:pPr>
        <w:pStyle w:val="8"/>
        <w:snapToGrid w:val="0"/>
        <w:spacing w:line="360" w:lineRule="auto"/>
        <w:ind w:left="210" w:leftChars="10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D. 致畸性</w:t>
      </w:r>
    </w:p>
    <w:p>
      <w:pPr>
        <w:pStyle w:val="8"/>
        <w:numPr>
          <w:ilvl w:val="0"/>
          <w:numId w:val="0"/>
        </w:numPr>
        <w:snapToGrid w:val="0"/>
        <w:spacing w:line="440" w:lineRule="exact"/>
        <w:ind w:leftChars="0"/>
        <w:rPr>
          <w:rFonts w:hint="eastAsia" w:ascii="黑体" w:hAnsi="宋体" w:eastAsia="黑体" w:cs="Times New Roman"/>
          <w:b/>
          <w:bCs/>
          <w:kern w:val="2"/>
          <w:sz w:val="21"/>
          <w:szCs w:val="21"/>
          <w:lang w:val="en-US" w:eastAsia="zh-CN" w:bidi="ar-SA"/>
        </w:rPr>
      </w:pPr>
      <w:r>
        <w:rPr>
          <w:rFonts w:hint="eastAsia" w:ascii="黑体" w:hAnsi="宋体" w:eastAsia="黑体" w:cs="Times New Roman"/>
          <w:b/>
          <w:bCs/>
          <w:kern w:val="2"/>
          <w:sz w:val="21"/>
          <w:szCs w:val="21"/>
          <w:lang w:val="en-US" w:eastAsia="zh-CN" w:bidi="ar-SA"/>
        </w:rPr>
        <w:t>三、名词解释题（本大题共5小题，每小题4分，共20分）</w:t>
      </w:r>
    </w:p>
    <w:p>
      <w:pPr>
        <w:pStyle w:val="8"/>
        <w:snapToGrid w:val="0"/>
        <w:spacing w:line="360" w:lineRule="auto"/>
        <w:ind w:left="0" w:leftChars="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 xml:space="preserve">1. 食品毒理学 </w:t>
      </w:r>
    </w:p>
    <w:p>
      <w:pPr>
        <w:pStyle w:val="8"/>
        <w:snapToGrid w:val="0"/>
        <w:spacing w:line="360" w:lineRule="auto"/>
        <w:ind w:left="210" w:leftChars="100" w:firstLine="0" w:firstLineChars="0"/>
        <w:rPr>
          <w:rFonts w:hint="eastAsia" w:ascii="Times New Roman" w:hAnsi="Times New Roman" w:eastAsia="宋体" w:cs="Times New Roman"/>
          <w:lang w:val="en-US" w:eastAsia="zh-CN"/>
        </w:rPr>
      </w:pPr>
      <w:r>
        <w:rPr>
          <w:rFonts w:hint="eastAsia" w:ascii="Times New Roman" w:hAnsi="Times New Roman" w:eastAsia="宋体"/>
          <w:lang w:val="en-US" w:eastAsia="zh-CN"/>
        </w:rPr>
        <w:t>参考答案：食品毒理学是研究食品中外源化学物质的性质、来源与形成以及他们的不良反应与可能的有益作用和机制，并确定这些物质的安全限量和评价食品安全性的一门科学。</w:t>
      </w:r>
    </w:p>
    <w:p>
      <w:pPr>
        <w:pStyle w:val="8"/>
        <w:numPr>
          <w:ilvl w:val="0"/>
          <w:numId w:val="0"/>
        </w:numPr>
        <w:snapToGrid w:val="0"/>
        <w:spacing w:line="440" w:lineRule="exact"/>
        <w:ind w:leftChars="0"/>
        <w:rPr>
          <w:rFonts w:hint="eastAsia" w:ascii="黑体" w:hAnsi="宋体" w:eastAsia="黑体" w:cs="Times New Roman"/>
          <w:b/>
          <w:bCs/>
          <w:kern w:val="2"/>
          <w:sz w:val="21"/>
          <w:szCs w:val="21"/>
          <w:lang w:val="en-US" w:eastAsia="zh-CN" w:bidi="ar-SA"/>
        </w:rPr>
      </w:pPr>
      <w:r>
        <w:rPr>
          <w:rFonts w:hint="eastAsia" w:ascii="黑体" w:hAnsi="宋体" w:eastAsia="黑体" w:cs="Times New Roman"/>
          <w:b/>
          <w:bCs/>
          <w:kern w:val="2"/>
          <w:sz w:val="21"/>
          <w:szCs w:val="21"/>
          <w:lang w:val="en-US" w:eastAsia="zh-CN" w:bidi="ar-SA"/>
        </w:rPr>
        <w:t>四、简答题（本大题共3小题，共15分）</w:t>
      </w:r>
    </w:p>
    <w:p>
      <w:pPr>
        <w:pStyle w:val="8"/>
        <w:snapToGrid w:val="0"/>
        <w:spacing w:line="360" w:lineRule="auto"/>
        <w:ind w:left="0" w:leftChars="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1. 简述食品毒理学的主要研究方法。（5分）</w:t>
      </w:r>
    </w:p>
    <w:p>
      <w:pPr>
        <w:pStyle w:val="8"/>
        <w:snapToGrid w:val="0"/>
        <w:spacing w:line="360" w:lineRule="auto"/>
        <w:ind w:left="210" w:leftChars="10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参考答案：整体动物试验研究（1分）、体外试验研究（1分）、人群流行病学研究（1分）、人体观察研究（1分）、化学物构效关系研究（1分）。</w:t>
      </w:r>
    </w:p>
    <w:p>
      <w:pPr>
        <w:pStyle w:val="8"/>
        <w:numPr>
          <w:ilvl w:val="0"/>
          <w:numId w:val="0"/>
        </w:numPr>
        <w:snapToGrid w:val="0"/>
        <w:spacing w:line="440" w:lineRule="exact"/>
        <w:ind w:leftChars="0"/>
        <w:rPr>
          <w:rFonts w:hint="eastAsia" w:ascii="黑体" w:hAnsi="宋体" w:eastAsia="黑体" w:cs="Times New Roman"/>
          <w:b/>
          <w:bCs/>
          <w:kern w:val="2"/>
          <w:sz w:val="21"/>
          <w:szCs w:val="21"/>
          <w:lang w:val="en-US" w:eastAsia="zh-CN" w:bidi="ar-SA"/>
        </w:rPr>
      </w:pPr>
      <w:r>
        <w:rPr>
          <w:rFonts w:hint="eastAsia" w:ascii="黑体" w:hAnsi="宋体" w:eastAsia="黑体" w:cs="Times New Roman"/>
          <w:b/>
          <w:bCs/>
          <w:kern w:val="2"/>
          <w:sz w:val="21"/>
          <w:szCs w:val="21"/>
          <w:lang w:val="en-US" w:eastAsia="zh-CN" w:bidi="ar-SA"/>
        </w:rPr>
        <w:t>五、论述题（本大题共1小题，每小题15分，共15分）</w:t>
      </w:r>
    </w:p>
    <w:p>
      <w:pPr>
        <w:pStyle w:val="8"/>
        <w:snapToGrid w:val="0"/>
        <w:spacing w:line="360" w:lineRule="auto"/>
        <w:ind w:left="0" w:leftChars="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1. 试述食品中有毒有害物质风险评估的主要步骤及其意义。</w:t>
      </w:r>
    </w:p>
    <w:p>
      <w:pPr>
        <w:pStyle w:val="8"/>
        <w:snapToGrid w:val="0"/>
        <w:spacing w:line="360" w:lineRule="auto"/>
        <w:ind w:left="210" w:leftChars="10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参考答案：</w:t>
      </w:r>
    </w:p>
    <w:p>
      <w:pPr>
        <w:pStyle w:val="8"/>
        <w:snapToGrid w:val="0"/>
        <w:spacing w:line="360" w:lineRule="auto"/>
        <w:ind w:left="210" w:leftChars="10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步骤：①危害识别（1分）：为定性评价，目的是基于已知的资料和作用模式来评价有害物质对人有害作用的证据充分性，确定有害物质在一定条件下产生损害效应的可能性、效应的性质、特点和强度及其与损害效应之间的因果关系（2分）。</w:t>
      </w:r>
    </w:p>
    <w:p>
      <w:pPr>
        <w:pStyle w:val="8"/>
        <w:snapToGrid w:val="0"/>
        <w:spacing w:line="360" w:lineRule="auto"/>
        <w:ind w:left="210" w:leftChars="100" w:firstLine="0" w:firstLineChars="0"/>
        <w:rPr>
          <w:rFonts w:hint="eastAsia" w:ascii="Times New Roman" w:hAnsi="Times New Roman" w:eastAsia="宋体"/>
          <w:lang w:val="en-US" w:eastAsia="zh-CN"/>
        </w:rPr>
      </w:pPr>
      <w:r>
        <w:rPr>
          <w:rFonts w:hint="eastAsia" w:ascii="Times New Roman" w:hAnsi="Times New Roman" w:eastAsia="宋体"/>
          <w:lang w:val="en-US" w:eastAsia="zh-CN"/>
        </w:rPr>
        <w:t>②危害特征描述（1分）：为定量评估，目的是通过对动物毒理学研究资料和流行病学调查资料进行分析，阐明不同剂量水平的有害因素与暴露群体出现有害效应发生率之间的定量关系，确定特定暴露剂量下人群风险的基准值（2分）。</w:t>
      </w:r>
    </w:p>
    <w:p>
      <w:pPr>
        <w:pStyle w:val="8"/>
        <w:snapToGrid w:val="0"/>
        <w:spacing w:line="360" w:lineRule="auto"/>
        <w:ind w:left="210" w:leftChars="100" w:firstLine="0" w:firstLineChars="0"/>
        <w:rPr>
          <w:rFonts w:hint="default" w:ascii="Times New Roman" w:hAnsi="Times New Roman" w:eastAsia="宋体"/>
          <w:lang w:val="en-US" w:eastAsia="zh-CN"/>
        </w:rPr>
      </w:pPr>
      <w:r>
        <w:rPr>
          <w:rFonts w:hint="eastAsia" w:ascii="Times New Roman" w:hAnsi="Times New Roman" w:eastAsia="宋体"/>
          <w:lang w:val="en-US" w:eastAsia="zh-CN"/>
        </w:rPr>
        <w:t>③暴露评估（1分）：目的是确定暴露人群的暴露总量并估算化学物暴露的强度、频率、持续时间以及暴露人群的暴露特征，为风险评估提供暴露数据或估测值（2分）。</w:t>
      </w:r>
    </w:p>
    <w:p>
      <w:pPr>
        <w:pStyle w:val="8"/>
        <w:snapToGrid w:val="0"/>
        <w:spacing w:line="360" w:lineRule="auto"/>
        <w:ind w:left="210" w:leftChars="100" w:firstLine="0" w:firstLineChars="0"/>
        <w:rPr>
          <w:rFonts w:hint="default" w:ascii="Times New Roman" w:hAnsi="Times New Roman" w:eastAsia="宋体"/>
          <w:lang w:val="en-US" w:eastAsia="zh-CN"/>
        </w:rPr>
      </w:pPr>
      <w:r>
        <w:rPr>
          <w:rFonts w:hint="eastAsia" w:ascii="Times New Roman" w:hAnsi="Times New Roman" w:eastAsia="宋体"/>
          <w:lang w:val="en-US" w:eastAsia="zh-CN"/>
        </w:rPr>
        <w:t>④风险特征描述（1分）：综合分析前三阶段的信息，定性或定量估算有害物质在暴露系统或人群中引起健康损害的发生率，并阐述其伴随的不确定性以及可能引起的公众健康问题（2分）。</w:t>
      </w:r>
    </w:p>
    <w:p>
      <w:pPr>
        <w:pStyle w:val="8"/>
        <w:snapToGrid w:val="0"/>
        <w:spacing w:line="360" w:lineRule="auto"/>
        <w:ind w:left="210" w:leftChars="100" w:firstLine="0" w:firstLineChars="0"/>
        <w:rPr>
          <w:rFonts w:hint="default" w:ascii="Times New Roman" w:hAnsi="Times New Roman" w:eastAsia="宋体"/>
          <w:lang w:val="en-US" w:eastAsia="zh-CN"/>
        </w:rPr>
      </w:pPr>
      <w:r>
        <w:rPr>
          <w:rFonts w:hint="eastAsia" w:ascii="Times New Roman" w:hAnsi="Times New Roman" w:eastAsia="宋体"/>
          <w:lang w:val="en-US" w:eastAsia="zh-CN"/>
        </w:rPr>
        <w:t>意义：风险评估是整个风险分析体系的核心和基础，最终目的是为制定食品安全标准提供科学依据，保证食品生产、食用的安全，也是国家食品安全质量监督管理的依据。（3分）</w:t>
      </w:r>
    </w:p>
    <w:p>
      <w:pPr>
        <w:rPr>
          <w:rFonts w:hint="eastAsia" w:ascii="Times New Roman" w:hAnsi="Times New Roman" w:eastAsia="宋体" w:cs="Times New Roman"/>
          <w:szCs w:val="21"/>
        </w:rPr>
      </w:pPr>
    </w:p>
    <w:p>
      <w:pPr>
        <w:spacing w:line="360" w:lineRule="auto"/>
        <w:rPr>
          <w:rFonts w:hint="eastAsia"/>
          <w:b/>
          <w:bCs/>
          <w:sz w:val="36"/>
          <w:szCs w:val="36"/>
        </w:rPr>
      </w:pPr>
      <w:r>
        <w:rPr>
          <w:sz w:val="24"/>
        </w:rPr>
        <w:t xml:space="preserve">                                                  202</w:t>
      </w:r>
      <w:r>
        <w:rPr>
          <w:rFonts w:hint="eastAsia"/>
          <w:sz w:val="24"/>
          <w:lang w:val="en-US" w:eastAsia="zh-CN"/>
        </w:rPr>
        <w:t>4</w:t>
      </w:r>
      <w:r>
        <w:rPr>
          <w:sz w:val="24"/>
        </w:rPr>
        <w:t>年</w:t>
      </w:r>
      <w:r>
        <w:rPr>
          <w:rFonts w:hint="eastAsia"/>
          <w:sz w:val="24"/>
          <w:lang w:val="en-US" w:eastAsia="zh-CN"/>
        </w:rPr>
        <w:t>1</w:t>
      </w:r>
      <w:r>
        <w:rPr>
          <w:sz w:val="24"/>
        </w:rPr>
        <w:t>月</w:t>
      </w:r>
      <w:r>
        <w:rPr>
          <w:rFonts w:hint="eastAsia"/>
          <w:sz w:val="24"/>
          <w:lang w:val="en-US" w:eastAsia="zh-CN"/>
        </w:rPr>
        <w:t>15</w:t>
      </w:r>
      <w:r>
        <w:rPr>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C2398A"/>
    <w:multiLevelType w:val="singleLevel"/>
    <w:tmpl w:val="80C2398A"/>
    <w:lvl w:ilvl="0" w:tentative="0">
      <w:start w:val="2"/>
      <w:numFmt w:val="chineseCounting"/>
      <w:suff w:val="nothing"/>
      <w:lvlText w:val="%1、"/>
      <w:lvlJc w:val="left"/>
      <w:rPr>
        <w:rFonts w:hint="eastAsia"/>
      </w:rPr>
    </w:lvl>
  </w:abstractNum>
  <w:abstractNum w:abstractNumId="1">
    <w:nsid w:val="DB16EE9C"/>
    <w:multiLevelType w:val="singleLevel"/>
    <w:tmpl w:val="DB16EE9C"/>
    <w:lvl w:ilvl="0" w:tentative="0">
      <w:start w:val="2"/>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1NTk3ZTM3NDAxNzU5YTZmNjI5MzQ2YTc3NWI5OTcifQ=="/>
  </w:docVars>
  <w:rsids>
    <w:rsidRoot w:val="00AE0458"/>
    <w:rsid w:val="000D525A"/>
    <w:rsid w:val="005D6EF2"/>
    <w:rsid w:val="00AB3AA6"/>
    <w:rsid w:val="00AE0458"/>
    <w:rsid w:val="00B902C4"/>
    <w:rsid w:val="00CB5115"/>
    <w:rsid w:val="00D32150"/>
    <w:rsid w:val="03361791"/>
    <w:rsid w:val="0B4467DE"/>
    <w:rsid w:val="0CBC09A4"/>
    <w:rsid w:val="13BF17AB"/>
    <w:rsid w:val="18CE6D30"/>
    <w:rsid w:val="333E661E"/>
    <w:rsid w:val="4C4D1F23"/>
    <w:rsid w:val="51AF1C65"/>
    <w:rsid w:val="63F34AF2"/>
    <w:rsid w:val="65E35D8F"/>
    <w:rsid w:val="6A4D7939"/>
    <w:rsid w:val="6B5E6262"/>
    <w:rsid w:val="7FD30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_Style 1"/>
    <w:basedOn w:val="1"/>
    <w:qFormat/>
    <w:uiPriority w:val="0"/>
    <w:pPr>
      <w:ind w:firstLine="420" w:firstLineChars="200"/>
    </w:pPr>
    <w:rPr>
      <w:rFonts w:ascii="Calibri" w:hAnsi="Calibri" w:eastAsia="宋体" w:cs="Times New Roman"/>
      <w:szCs w:val="21"/>
    </w:rPr>
  </w:style>
  <w:style w:type="paragraph" w:customStyle="1" w:styleId="8">
    <w:name w:val="List Paragraph"/>
    <w:basedOn w:val="1"/>
    <w:qFormat/>
    <w:uiPriority w:val="0"/>
    <w:pPr>
      <w:ind w:firstLine="420" w:firstLineChars="200"/>
    </w:pPr>
    <w:rPr>
      <w:rFonts w:ascii="等线" w:hAnsi="等线" w:eastAsia="等线"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2147</Words>
  <Characters>2195</Characters>
  <Lines>20</Lines>
  <Paragraphs>5</Paragraphs>
  <TotalTime>56</TotalTime>
  <ScaleCrop>false</ScaleCrop>
  <LinksUpToDate>false</LinksUpToDate>
  <CharactersWithSpaces>2451</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2023-11-06T06:11:00Z</dcterms:created>
  <dc:creator>amber yao</dc:creator>
  <cp:lastModifiedBy>gao qian</cp:lastModifiedBy>
  <dcterms:modified xsi:type="dcterms:W3CDTF">2024-08-28T06:56:32Z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y fmtid="{D5CDD505-2E9C-101B-9397-08002B2CF9AE}" pid="3" name="ICV">
    <vt:lpwstr>DB1CBD3257624EAEB58BF5B367A92BE2_13</vt:lpwstr>
  </property>
</Properties>
</file>